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1A" w:rsidRDefault="0007321A" w:rsidP="0007321A">
      <w:r>
        <w:t>L’orizzonte di senso della riforma costituzionale</w:t>
      </w:r>
    </w:p>
    <w:p w:rsidR="00A252E6" w:rsidRDefault="0007321A"/>
    <w:p w:rsidR="0007321A" w:rsidRDefault="0007321A"/>
    <w:p w:rsidR="0007321A" w:rsidRDefault="0007321A">
      <w:hyperlink r:id="rId4" w:history="1">
        <w:r w:rsidRPr="0002522A">
          <w:rPr>
            <w:rStyle w:val="Collegamentoipertestuale"/>
          </w:rPr>
          <w:t>http://www.rivistailmulino.it/news/newsitem/index/Item/News:NEWS_ITEM:3189?&amp;utm_source=newsletter&amp;utm_medium=email&amp;utm_campaign=%3A%3A+Rivista+il+Mulino+%7C+News+%7C+4+aprile+2016+%3A%3A+%5B5078%5D</w:t>
        </w:r>
      </w:hyperlink>
    </w:p>
    <w:p w:rsidR="0007321A" w:rsidRDefault="0007321A" w:rsidP="0007321A">
      <w:r>
        <w:t>Umberto Romagnoli</w:t>
      </w:r>
    </w:p>
    <w:p w:rsidR="0007321A" w:rsidRDefault="0007321A" w:rsidP="0007321A"/>
    <w:p w:rsidR="0007321A" w:rsidRDefault="0007321A" w:rsidP="0007321A">
      <w:r>
        <w:t xml:space="preserve">Come la Costituzione vigente è il prodotto di un’assemblea elettiva così la sua revisione non può avere una diversa provenienza: deve cioè essere opera del Parlamento senza interferenze governative. Viceversa, lo stile di gestione della riforma in discussione è identico a quello esibito nel corso della vicenda del disegno di legge-delega cd. Jobs </w:t>
      </w:r>
      <w:proofErr w:type="spellStart"/>
      <w:r>
        <w:t>Act</w:t>
      </w:r>
      <w:proofErr w:type="spellEnd"/>
      <w:r>
        <w:t xml:space="preserve">. Una vicenda marcatamente segnata dal protagonismo del governo. Cosa che, se è comprensibile in presenza di una legge-delega purché non risulti (come in quel caso) prevaricante, è censurabile quando la discussione verte sulla revisione di un patto che, come quello costituzionale, sta sopra la politica di tutti i giorni. Altrimenti, va a finire che succede quel che è successo: incurante che la Costituzione sia paragonabile alla carta d’identità di un Paese – di tutto il Paese, non di una sua parte – Matteo </w:t>
      </w:r>
      <w:proofErr w:type="spellStart"/>
      <w:r>
        <w:t>Renzi</w:t>
      </w:r>
      <w:proofErr w:type="spellEnd"/>
      <w:r>
        <w:t xml:space="preserve"> ha trasformato il giudizio popolare sulla riforma in un giudizio sull’operato del governo e dunque in un plebiscito che evoca suggestioni bonapartiste.</w:t>
      </w:r>
    </w:p>
    <w:p w:rsidR="0007321A" w:rsidRDefault="0007321A" w:rsidP="0007321A">
      <w:r>
        <w:t>Ad ogni modo, nemmeno la vocazione a semplificare faccende complesse esenta dal commettere pasticci. Lo si è visto anche stavolta. Il colmo è stato raggiunto allorché si è dovuto ridisegnare il Senato.</w:t>
      </w:r>
    </w:p>
    <w:p w:rsidR="0007321A" w:rsidRDefault="0007321A" w:rsidP="0007321A">
      <w:r>
        <w:t>La norma che lo riguarda è un semi-lavorato, povero di indicazioni precise e ricco di nebulosità. Quel che se ne ricava non consente di prevedere se l’istituzione avrà un futuro di cui fidarsi né come riuscirà a formarsi un’identità di cui andare orgogliosa. Il solo dato inequivocabile è che i suoi 100 componenti si suddividono in consiglieri regionali (74), sindaci (21: 1 per regione) eletti dai consigli regionali e illustri personalità (5) nominate (per 7 anni) dal presidente della Repubblica.</w:t>
      </w:r>
    </w:p>
    <w:p w:rsidR="0007321A" w:rsidRDefault="0007321A" w:rsidP="0007321A">
      <w:r>
        <w:t xml:space="preserve">A parte l’inspiegabilità della partecipazione di artisti o scienziati o letterati a un organismo di rappresentanza degli enti territoriali se non come un omaggio alla memoria della figura dei senatori a vita, che scompare, la principale singolarità del nuovo Senato risiede nella folta presenza di membri part-time e nell’alto tasso di turn-over dei medesimi. A tempo parziale, infatti, saranno sia i consiglieri </w:t>
      </w:r>
      <w:proofErr w:type="spellStart"/>
      <w:r>
        <w:t>regionali-senatori</w:t>
      </w:r>
      <w:proofErr w:type="spellEnd"/>
      <w:r>
        <w:t xml:space="preserve"> che i sindaci-senatori e ciascuno di loro non potrà mantenere il laticlavio se, per qualunque motivo, dovesse abbandonare la carica istituzionale in ragione della quale è stato designato. Comunque, le incertezze più gravi si addensano sulla legittimazione e sul ruolo del nuovo Senato.</w:t>
      </w:r>
    </w:p>
    <w:p w:rsidR="0007321A" w:rsidRDefault="0007321A" w:rsidP="0007321A">
      <w:r>
        <w:t>Anche a questo proposito si sa pochissimo. Eppure, contrariamente a quanto si sente ripetere, non è vero che il bicameralismo sia finito. A dispetto del mantra della rapidità dei processi decisionali e del risparmio dei costi della politica, da paritario (come è stato finora) si è convertito in un bicameralismo differenziato (ma si potrebbe anche dire: azzoppato). Infatti, la formazione delle leggi costituzionali (inclusa la revisione della Costituzione) e, limitatamente ad alcune materie scarsamente omogenee, delle leggi ordinarie continuerà ad essere sottoposta ad un regime bicamerale.</w:t>
      </w:r>
    </w:p>
    <w:p w:rsidR="0007321A" w:rsidRDefault="0007321A" w:rsidP="0007321A">
      <w:r>
        <w:t>Il mutamento istituzionale risente visibilmente della maldestra mediazione intervenuta tra gli abolizionisti del bicameralismo perfetto e i suoi fautori, convinti che sia una irrinunciabile garanzia. Priva di risposta infatti è rimasta la domanda consistente nel sapere se e come si giustifica la facoltà di legiferare (persino in materia costituzionale) da parte di un organismo che non è eletto a suffragio universale e diretto. Evidentemente, l’inconciliabilità delle posizioni in campo non consentiva di rispettare il crono-programma fissato dal governo e, allora, per uscire dall’impasse si è optato per il rinvio ad una legge che non c’è. Il rinvio è contenuto in una formula di sapore oracolare: i 74 consiglieri regionali saranno “eletti” dai rispettivi consigli “in conformità alle scelte che saranno espresse dagli elettori”. Ovviamente, la medesima legge dovrà inoltre chiarire come saranno scelti i 21 sindaci.</w:t>
      </w:r>
    </w:p>
    <w:p w:rsidR="0007321A" w:rsidRDefault="0007321A" w:rsidP="0007321A"/>
    <w:p w:rsidR="0007321A" w:rsidRDefault="0007321A" w:rsidP="0007321A">
      <w:r>
        <w:t>Può sembrare paradossale che la riforma costituzionale sia approssimativa e lacunosa proprio per quanto attiene all’istituzione che era nel centro del mirino fin dall’inizio. A ben vedere, invece, non è una stranezza. Il fatto è che durante il suo iter parlamentare è stato approvato l’</w:t>
      </w:r>
      <w:proofErr w:type="spellStart"/>
      <w:r>
        <w:t>Italicum</w:t>
      </w:r>
      <w:proofErr w:type="spellEnd"/>
      <w:r>
        <w:t xml:space="preserve">, figlio dell’accordo </w:t>
      </w:r>
      <w:proofErr w:type="spellStart"/>
      <w:r>
        <w:t>Renzi-Berlusconi</w:t>
      </w:r>
      <w:proofErr w:type="spellEnd"/>
      <w:r>
        <w:t xml:space="preserve">, e il Senato è diventato il terreno sul quale organizzare (sia pure tardivamente) una qualche </w:t>
      </w:r>
      <w:r>
        <w:lastRenderedPageBreak/>
        <w:t>resistenza, se non per contrastare, almeno ridimensionare il culto della governabilità sacralizzato da una legge per eleggere i (soli) deputati: maggioritaria, con premio e abolitiva della doppia fiducia.</w:t>
      </w:r>
    </w:p>
    <w:p w:rsidR="0007321A" w:rsidRDefault="0007321A" w:rsidP="0007321A">
      <w:r>
        <w:t>In effetti, in presenza di regole che permettono a un solo partito di formare il governo anche se espressione di una minoranza di votanti e lo esonerano dal chiedere la fiducia al Senato, perché gli basta ottenerla alla Camera del deputati, non è da visionari presagire la compressione del pluralismo politico-culturale e in conseguenza della dialettica democratica.</w:t>
      </w:r>
    </w:p>
    <w:p w:rsidR="0007321A" w:rsidRDefault="0007321A" w:rsidP="0007321A">
      <w:r>
        <w:t>Uno sguardo d’insieme permette infatti di capire come e quanto l’</w:t>
      </w:r>
      <w:proofErr w:type="spellStart"/>
      <w:r>
        <w:t>Italicum</w:t>
      </w:r>
      <w:proofErr w:type="spellEnd"/>
      <w:r>
        <w:t xml:space="preserve"> sia stato influenzato dall’idea dell’uomo solo al comando.</w:t>
      </w:r>
    </w:p>
    <w:p w:rsidR="0007321A" w:rsidRDefault="0007321A" w:rsidP="0007321A">
      <w:r>
        <w:t>Ottiene la maggioranza assoluta dei seggi della Camera (340 su 630, ossia il 54%) il partito che al primo turno supera il 40% dei voti  o, in alternativa, che batte l’avversario al ballottaggio:  indipendentemente, in entrambe le ipotesi, dal numero dei voti. Ciò significa che il leader vittorioso ha in tasca la designazione alla premiership: il presidente della Repubblica non può non dargli l’incarico a formare il governo e la fiducia della Camera è scontata. Non a caso, Maria Elena Boschi ha già detto che breve ormai è la distanza tra il regime parlamentare risultante dalla riforma e il regime presidenziale. Non è un’affermazione imprudente, quanto sincera, poiché contiene l’annuncio della prossima riforma.</w:t>
      </w:r>
    </w:p>
    <w:p w:rsidR="0007321A" w:rsidRDefault="0007321A" w:rsidP="0007321A">
      <w:r>
        <w:t>Per questo, il dibattito sulla riforma del sistema bicamerale è stato condizionato dall’esigenza di evitare che, combinandosi con l’</w:t>
      </w:r>
      <w:proofErr w:type="spellStart"/>
      <w:r>
        <w:t>Italicum</w:t>
      </w:r>
      <w:proofErr w:type="spellEnd"/>
      <w:r>
        <w:t>, l’innovazione costituzionale determini il corto-circuito della democrazia rappresentativa, una volta che con l’eliminazione della doppia fiducia venga tolta al Senato la funzione d’indirizzo politico e di controllo sull’azione del governo. Come dire: la chiave di lettura della riforma costituzionale va cercata al di fuori del testo riformato e trovata dentro le dinamiche che si svilupperanno in applicazione dell’</w:t>
      </w:r>
      <w:proofErr w:type="spellStart"/>
      <w:r>
        <w:t>Italicum</w:t>
      </w:r>
      <w:proofErr w:type="spellEnd"/>
      <w:r>
        <w:t>. L’orizzonte di senso della riforma è tracciato da una legge elettorale pensata per attuare la costituzione che verrà e da una revisione di quella che c’è trainata da una legge elettorale che ammicca al presidenzialismo. Più che insensato, il percorso è spericolato, perché la tenuta costituzionale della legge elettorale è precaria.</w:t>
      </w:r>
    </w:p>
    <w:p w:rsidR="0007321A" w:rsidRDefault="0007321A" w:rsidP="0007321A">
      <w:r>
        <w:t xml:space="preserve">Il Tribunale di Messina, il più sollecito tra quanti finora interpellati, ha già ritenuto non manifestamente infondato il sospetto della sua incostituzionalità per lesione dei principi fondamentali della rappresentanza democratica e su di esso la Consulta dovrà pronunciarsi. Non è questa la sede per analizzare la motivazione dell’ordinanza di rimessione all’Alta Corte. Conta piuttosto mettere in evidenza due osservazioni conclusive. Prima: le argomentazioni sono ricalcate su quelle di recente svolte dalla stessa Consulta per bocciare il </w:t>
      </w:r>
      <w:proofErr w:type="spellStart"/>
      <w:r>
        <w:t>Porcellum</w:t>
      </w:r>
      <w:proofErr w:type="spellEnd"/>
      <w:r>
        <w:t xml:space="preserve"> praticato in occasione delle ultime elezioni. Seconda: l’</w:t>
      </w:r>
      <w:proofErr w:type="spellStart"/>
      <w:r>
        <w:t>Italicum</w:t>
      </w:r>
      <w:proofErr w:type="spellEnd"/>
      <w:r>
        <w:t xml:space="preserve"> gli somiglia pericolosamente. Il che significa che la riforma costituzionale è stata approvata da un Parlamento politicamente delegittimato che, proprio per questo motivo, avrebbe dovuto limitarsi a produrre una legge costituzionalmente corretta in base alla quale rinnovare i suoi componenti, e non incamminarsi verso il cambiamento del sistema costituzionale.</w:t>
      </w:r>
    </w:p>
    <w:p w:rsidR="0007321A" w:rsidRDefault="0007321A" w:rsidP="0007321A">
      <w:r>
        <w:t xml:space="preserve">Consultate la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- Privacy - </w:t>
      </w:r>
      <w:proofErr w:type="spellStart"/>
      <w:r>
        <w:t>Cookies</w:t>
      </w:r>
      <w:proofErr w:type="spellEnd"/>
    </w:p>
    <w:p w:rsidR="0007321A" w:rsidRDefault="0007321A" w:rsidP="0007321A">
      <w:r>
        <w:t xml:space="preserve">© 2016 Società editrice il Mulino </w:t>
      </w:r>
      <w:proofErr w:type="spellStart"/>
      <w:r>
        <w:t>S.p.A.-</w:t>
      </w:r>
      <w:proofErr w:type="spellEnd"/>
      <w:r>
        <w:t xml:space="preserve"> </w:t>
      </w:r>
      <w:proofErr w:type="spellStart"/>
      <w:r>
        <w:t>Tut</w:t>
      </w:r>
      <w:proofErr w:type="spellEnd"/>
    </w:p>
    <w:sectPr w:rsidR="0007321A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321A"/>
    <w:rsid w:val="0007321A"/>
    <w:rsid w:val="00122C31"/>
    <w:rsid w:val="006E139B"/>
    <w:rsid w:val="009C752C"/>
    <w:rsid w:val="00A372C1"/>
    <w:rsid w:val="00C1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3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vistailmulino.it/news/newsitem/index/Item/News:NEWS_ITEM:3189?&amp;utm_source=newsletter&amp;utm_medium=email&amp;utm_campaign=%3A%3A+Rivista+il+Mulino+%7C+News+%7C+4+aprile+2016+%3A%3A+%5B5078%5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2016-04-04T12:55:00Z</dcterms:created>
  <dcterms:modified xsi:type="dcterms:W3CDTF">2016-04-04T12:56:00Z</dcterms:modified>
</cp:coreProperties>
</file>